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86BA" w14:textId="77777777" w:rsidR="009D4EFC" w:rsidRDefault="00B3668C">
      <w:pPr>
        <w:keepNext/>
        <w:keepLines/>
        <w:spacing w:before="20" w:after="80"/>
        <w:jc w:val="center"/>
      </w:pPr>
      <w:r>
        <w:rPr>
          <w:b/>
          <w:sz w:val="34"/>
        </w:rPr>
        <w:t>DIGITAL ASSET RISK WARNING</w:t>
      </w:r>
    </w:p>
    <w:p w14:paraId="7EB77904" w14:textId="77777777" w:rsidR="009D4EFC" w:rsidRDefault="00B3668C">
      <w:pPr>
        <w:keepNext/>
        <w:keepLines/>
        <w:pBdr>
          <w:bottom w:val="single" w:sz="4" w:space="5" w:color="000000"/>
        </w:pBdr>
        <w:spacing w:after="80"/>
        <w:jc w:val="center"/>
      </w:pPr>
      <w:r>
        <w:rPr>
          <w:b/>
        </w:rPr>
        <w:t xml:space="preserve">Regulatory basis: </w:t>
      </w:r>
      <w:r>
        <w:t>AIFC Rules on Digital Asset Activities (DAA), Rules 4.6.1.-1(1) and 3.10.2(1).</w:t>
      </w:r>
    </w:p>
    <w:p w14:paraId="5FAA7A6C" w14:textId="77777777" w:rsidR="009D4EFC" w:rsidRDefault="00B3668C">
      <w:pPr>
        <w:keepNext/>
        <w:keepLines/>
        <w:spacing w:after="80"/>
        <w:jc w:val="both"/>
      </w:pPr>
      <w:r>
        <w:rPr>
          <w:b/>
        </w:rPr>
        <w:t xml:space="preserve">Neomarkets Ltd is an AFSA-authorised Digital Asset Service Provider (DASP) and an AIFC Authorised Firm. </w:t>
      </w:r>
      <w:r>
        <w:t>This warning is provided pursuant to DAA Rule 4.6.1.-1(1), which requires risk warnings for Authorised Firms Providing Money Services in relation to Digital Assets, and is consistent with DAA Rule 3.10.2(1). Please read it carefully before using any Digital Asset service.</w:t>
      </w:r>
    </w:p>
    <w:tbl>
      <w:tblPr>
        <w:tblW w:w="10034" w:type="dxa"/>
        <w:jc w:val="center"/>
        <w:tblLayout w:type="fixed"/>
        <w:tblLook w:val="04A0" w:firstRow="1" w:lastRow="0" w:firstColumn="1" w:lastColumn="0" w:noHBand="0" w:noVBand="1"/>
      </w:tblPr>
      <w:tblGrid>
        <w:gridCol w:w="10034"/>
      </w:tblGrid>
      <w:tr w:rsidR="009D4EFC" w14:paraId="4727C82C" w14:textId="77777777">
        <w:trPr>
          <w:jc w:val="center"/>
        </w:trPr>
        <w:tc>
          <w:tcPr>
            <w:tcW w:w="10035" w:type="dxa"/>
            <w:tcBorders>
              <w:top w:val="single" w:sz="14" w:space="0" w:color="000000"/>
              <w:left w:val="single" w:sz="14" w:space="0" w:color="000000"/>
              <w:bottom w:val="single" w:sz="14" w:space="0" w:color="000000"/>
              <w:right w:val="single" w:sz="14" w:space="0" w:color="000000"/>
            </w:tcBorders>
            <w:tcMar>
              <w:top w:w="90" w:type="dxa"/>
              <w:left w:w="120" w:type="dxa"/>
              <w:bottom w:w="90" w:type="dxa"/>
              <w:right w:w="120" w:type="dxa"/>
            </w:tcMar>
          </w:tcPr>
          <w:p w14:paraId="2A2777B3" w14:textId="77777777" w:rsidR="009D4EFC" w:rsidRDefault="00B3668C">
            <w:pPr>
              <w:keepLines/>
              <w:jc w:val="center"/>
            </w:pPr>
            <w:r>
              <w:rPr>
                <w:b/>
                <w:sz w:val="24"/>
              </w:rPr>
              <w:t>DIGITAL ASSETS ARE HIGH-RISK. YOU MAY LOSE ALL DIGITAL ASSETS INVOLVED IN A TRANSACTION.</w:t>
            </w:r>
          </w:p>
        </w:tc>
      </w:tr>
    </w:tbl>
    <w:p w14:paraId="5C371806" w14:textId="77777777" w:rsidR="009D4EFC" w:rsidRDefault="009D4EFC">
      <w:pPr>
        <w:keepLines/>
        <w:spacing w:before="40"/>
      </w:pPr>
    </w:p>
    <w:tbl>
      <w:tblPr>
        <w:tblW w:w="10034" w:type="dxa"/>
        <w:jc w:val="center"/>
        <w:tblBorders>
          <w:top w:val="nil"/>
          <w:left w:val="nil"/>
          <w:bottom w:val="nil"/>
          <w:right w:val="nil"/>
          <w:insideH w:val="nil"/>
          <w:insideV w:val="nil"/>
        </w:tblBorders>
        <w:tblLayout w:type="fixed"/>
        <w:tblLook w:val="04A0" w:firstRow="1" w:lastRow="0" w:firstColumn="1" w:lastColumn="0" w:noHBand="0" w:noVBand="1"/>
      </w:tblPr>
      <w:tblGrid>
        <w:gridCol w:w="351"/>
        <w:gridCol w:w="9683"/>
      </w:tblGrid>
      <w:tr w:rsidR="009D4EFC" w14:paraId="0D2F0FDC" w14:textId="77777777">
        <w:trPr>
          <w:jc w:val="center"/>
        </w:trPr>
        <w:tc>
          <w:tcPr>
            <w:tcW w:w="351" w:type="dxa"/>
            <w:tcMar>
              <w:top w:w="0" w:type="dxa"/>
              <w:left w:w="0" w:type="dxa"/>
              <w:bottom w:w="20" w:type="dxa"/>
              <w:right w:w="70" w:type="dxa"/>
            </w:tcMar>
          </w:tcPr>
          <w:p w14:paraId="48A1886E" w14:textId="77777777" w:rsidR="009D4EFC" w:rsidRDefault="00B3668C">
            <w:pPr>
              <w:keepLines/>
              <w:jc w:val="right"/>
            </w:pPr>
            <w:r>
              <w:rPr>
                <w:b/>
              </w:rPr>
              <w:t>1.</w:t>
            </w:r>
          </w:p>
        </w:tc>
        <w:tc>
          <w:tcPr>
            <w:tcW w:w="9683" w:type="dxa"/>
            <w:tcMar>
              <w:top w:w="0" w:type="dxa"/>
              <w:left w:w="0" w:type="dxa"/>
              <w:bottom w:w="20" w:type="dxa"/>
              <w:right w:w="0" w:type="dxa"/>
            </w:tcMar>
          </w:tcPr>
          <w:p w14:paraId="77FBAD2A" w14:textId="77777777" w:rsidR="009D4EFC" w:rsidRDefault="00B3668C">
            <w:pPr>
              <w:keepLines/>
            </w:pPr>
            <w:r>
              <w:rPr>
                <w:b/>
              </w:rPr>
              <w:t xml:space="preserve">Legal status and government backing. </w:t>
            </w:r>
            <w:r>
              <w:t>Digital Assets are generally not legal tender and are not backed or guaranteed by any government.</w:t>
            </w:r>
          </w:p>
        </w:tc>
      </w:tr>
      <w:tr w:rsidR="009D4EFC" w14:paraId="76DCFA24" w14:textId="77777777">
        <w:trPr>
          <w:jc w:val="center"/>
        </w:trPr>
        <w:tc>
          <w:tcPr>
            <w:tcW w:w="351" w:type="dxa"/>
            <w:tcMar>
              <w:top w:w="0" w:type="dxa"/>
              <w:left w:w="0" w:type="dxa"/>
              <w:bottom w:w="20" w:type="dxa"/>
              <w:right w:w="70" w:type="dxa"/>
            </w:tcMar>
          </w:tcPr>
          <w:p w14:paraId="6180181A" w14:textId="77777777" w:rsidR="009D4EFC" w:rsidRDefault="00B3668C">
            <w:pPr>
              <w:keepLines/>
              <w:jc w:val="right"/>
            </w:pPr>
            <w:r>
              <w:rPr>
                <w:b/>
              </w:rPr>
              <w:t>2.</w:t>
            </w:r>
          </w:p>
        </w:tc>
        <w:tc>
          <w:tcPr>
            <w:tcW w:w="9683" w:type="dxa"/>
            <w:tcMar>
              <w:top w:w="0" w:type="dxa"/>
              <w:left w:w="0" w:type="dxa"/>
              <w:bottom w:w="20" w:type="dxa"/>
              <w:right w:w="0" w:type="dxa"/>
            </w:tcMar>
          </w:tcPr>
          <w:p w14:paraId="0A298B98" w14:textId="77777777" w:rsidR="009D4EFC" w:rsidRDefault="00B3668C">
            <w:pPr>
              <w:keepLines/>
            </w:pPr>
            <w:r>
              <w:rPr>
                <w:b/>
              </w:rPr>
              <w:t xml:space="preserve">Price volatility and stablecoin risk. </w:t>
            </w:r>
            <w:r>
              <w:t>The value of Digital Assets may rise or fall sharply and without warning. A Fiat stablecoin or Commodity stablecoin may lose its stability peg and may not be redeemable at its expected value.</w:t>
            </w:r>
          </w:p>
        </w:tc>
      </w:tr>
      <w:tr w:rsidR="009D4EFC" w14:paraId="05110D4C" w14:textId="77777777">
        <w:trPr>
          <w:jc w:val="center"/>
        </w:trPr>
        <w:tc>
          <w:tcPr>
            <w:tcW w:w="351" w:type="dxa"/>
            <w:tcMar>
              <w:top w:w="0" w:type="dxa"/>
              <w:left w:w="0" w:type="dxa"/>
              <w:bottom w:w="20" w:type="dxa"/>
              <w:right w:w="70" w:type="dxa"/>
            </w:tcMar>
          </w:tcPr>
          <w:p w14:paraId="16753290" w14:textId="77777777" w:rsidR="009D4EFC" w:rsidRDefault="00B3668C">
            <w:pPr>
              <w:keepLines/>
              <w:jc w:val="right"/>
            </w:pPr>
            <w:r>
              <w:rPr>
                <w:b/>
              </w:rPr>
              <w:t>3.</w:t>
            </w:r>
          </w:p>
        </w:tc>
        <w:tc>
          <w:tcPr>
            <w:tcW w:w="9683" w:type="dxa"/>
            <w:tcMar>
              <w:top w:w="0" w:type="dxa"/>
              <w:left w:w="0" w:type="dxa"/>
              <w:bottom w:w="20" w:type="dxa"/>
              <w:right w:w="0" w:type="dxa"/>
            </w:tcMar>
          </w:tcPr>
          <w:p w14:paraId="29217EFA" w14:textId="77777777" w:rsidR="009D4EFC" w:rsidRDefault="00B3668C">
            <w:pPr>
              <w:keepLines/>
            </w:pPr>
            <w:r>
              <w:rPr>
                <w:b/>
              </w:rPr>
              <w:t xml:space="preserve">Total loss risk. </w:t>
            </w:r>
            <w:r>
              <w:t>You may lose all or part of the value of Digital Assets involved in a transaction. Their value, availability and recovery are not guaranteed.</w:t>
            </w:r>
          </w:p>
        </w:tc>
      </w:tr>
      <w:tr w:rsidR="009D4EFC" w14:paraId="463E8B8E" w14:textId="77777777">
        <w:trPr>
          <w:jc w:val="center"/>
        </w:trPr>
        <w:tc>
          <w:tcPr>
            <w:tcW w:w="351" w:type="dxa"/>
            <w:tcMar>
              <w:top w:w="0" w:type="dxa"/>
              <w:left w:w="0" w:type="dxa"/>
              <w:bottom w:w="20" w:type="dxa"/>
              <w:right w:w="70" w:type="dxa"/>
            </w:tcMar>
          </w:tcPr>
          <w:p w14:paraId="7A37D33B" w14:textId="77777777" w:rsidR="009D4EFC" w:rsidRDefault="00B3668C">
            <w:pPr>
              <w:keepLines/>
              <w:jc w:val="right"/>
            </w:pPr>
            <w:r>
              <w:rPr>
                <w:b/>
              </w:rPr>
              <w:t>4.</w:t>
            </w:r>
          </w:p>
        </w:tc>
        <w:tc>
          <w:tcPr>
            <w:tcW w:w="9683" w:type="dxa"/>
            <w:tcMar>
              <w:top w:w="0" w:type="dxa"/>
              <w:left w:w="0" w:type="dxa"/>
              <w:bottom w:w="20" w:type="dxa"/>
              <w:right w:w="0" w:type="dxa"/>
            </w:tcMar>
          </w:tcPr>
          <w:p w14:paraId="4AAF683B" w14:textId="77777777" w:rsidR="009D4EFC" w:rsidRDefault="00B3668C">
            <w:pPr>
              <w:keepLines/>
            </w:pPr>
            <w:r>
              <w:rPr>
                <w:b/>
              </w:rPr>
              <w:t xml:space="preserve">Liquidity and transferability. </w:t>
            </w:r>
            <w:r>
              <w:t>A Digital Asset may become difficult or impossible to buy, sell, exchange, transfer or redeem at the expected time or price.</w:t>
            </w:r>
          </w:p>
        </w:tc>
      </w:tr>
      <w:tr w:rsidR="009D4EFC" w14:paraId="6592BB71" w14:textId="77777777">
        <w:trPr>
          <w:jc w:val="center"/>
        </w:trPr>
        <w:tc>
          <w:tcPr>
            <w:tcW w:w="351" w:type="dxa"/>
            <w:tcMar>
              <w:top w:w="0" w:type="dxa"/>
              <w:left w:w="0" w:type="dxa"/>
              <w:bottom w:w="20" w:type="dxa"/>
              <w:right w:w="70" w:type="dxa"/>
            </w:tcMar>
          </w:tcPr>
          <w:p w14:paraId="687CA48B" w14:textId="77777777" w:rsidR="009D4EFC" w:rsidRDefault="00B3668C">
            <w:pPr>
              <w:keepLines/>
              <w:jc w:val="right"/>
            </w:pPr>
            <w:r>
              <w:rPr>
                <w:b/>
              </w:rPr>
              <w:t>5.</w:t>
            </w:r>
          </w:p>
        </w:tc>
        <w:tc>
          <w:tcPr>
            <w:tcW w:w="9683" w:type="dxa"/>
            <w:tcMar>
              <w:top w:w="0" w:type="dxa"/>
              <w:left w:w="0" w:type="dxa"/>
              <w:bottom w:w="20" w:type="dxa"/>
              <w:right w:w="0" w:type="dxa"/>
            </w:tcMar>
          </w:tcPr>
          <w:p w14:paraId="10C16029" w14:textId="77777777" w:rsidR="009D4EFC" w:rsidRDefault="00B3668C">
            <w:pPr>
              <w:keepLines/>
            </w:pPr>
            <w:r>
              <w:rPr>
                <w:b/>
              </w:rPr>
              <w:t xml:space="preserve">Complexity and market behaviour. </w:t>
            </w:r>
            <w:r>
              <w:t>Digital Assets may be complex and difficult to evaluate, and trading may be affected by irrational market forces. Participation in Digital Assets is not comparable to participation in traditional investments such as Securities.</w:t>
            </w:r>
          </w:p>
        </w:tc>
      </w:tr>
      <w:tr w:rsidR="009D4EFC" w14:paraId="639AE5C4" w14:textId="77777777">
        <w:trPr>
          <w:jc w:val="center"/>
        </w:trPr>
        <w:tc>
          <w:tcPr>
            <w:tcW w:w="351" w:type="dxa"/>
            <w:tcMar>
              <w:top w:w="0" w:type="dxa"/>
              <w:left w:w="0" w:type="dxa"/>
              <w:bottom w:w="20" w:type="dxa"/>
              <w:right w:w="70" w:type="dxa"/>
            </w:tcMar>
          </w:tcPr>
          <w:p w14:paraId="492DC0E2" w14:textId="77777777" w:rsidR="009D4EFC" w:rsidRDefault="00B3668C">
            <w:pPr>
              <w:keepLines/>
              <w:jc w:val="right"/>
            </w:pPr>
            <w:r>
              <w:rPr>
                <w:b/>
              </w:rPr>
              <w:t>6.</w:t>
            </w:r>
          </w:p>
        </w:tc>
        <w:tc>
          <w:tcPr>
            <w:tcW w:w="9683" w:type="dxa"/>
            <w:tcMar>
              <w:top w:w="0" w:type="dxa"/>
              <w:left w:w="0" w:type="dxa"/>
              <w:bottom w:w="20" w:type="dxa"/>
              <w:right w:w="0" w:type="dxa"/>
            </w:tcMar>
          </w:tcPr>
          <w:p w14:paraId="7B4D67FA" w14:textId="77777777" w:rsidR="009D4EFC" w:rsidRDefault="00B3668C">
            <w:pPr>
              <w:keepLines/>
            </w:pPr>
            <w:r>
              <w:rPr>
                <w:b/>
              </w:rPr>
              <w:t xml:space="preserve">Cybersecurity and theft. </w:t>
            </w:r>
            <w:r>
              <w:t>Digital Assets and related systems may be exposed to hacking, fraud, malware, phishing, unauthorised access or other cyber incidents. Digital Assets may be stolen or become permanently inaccessible.</w:t>
            </w:r>
          </w:p>
        </w:tc>
      </w:tr>
      <w:tr w:rsidR="009D4EFC" w14:paraId="6EE869BE" w14:textId="77777777">
        <w:trPr>
          <w:jc w:val="center"/>
        </w:trPr>
        <w:tc>
          <w:tcPr>
            <w:tcW w:w="351" w:type="dxa"/>
            <w:tcMar>
              <w:top w:w="0" w:type="dxa"/>
              <w:left w:w="0" w:type="dxa"/>
              <w:bottom w:w="20" w:type="dxa"/>
              <w:right w:w="70" w:type="dxa"/>
            </w:tcMar>
          </w:tcPr>
          <w:p w14:paraId="486D8B76" w14:textId="77777777" w:rsidR="009D4EFC" w:rsidRDefault="00B3668C">
            <w:pPr>
              <w:keepLines/>
              <w:jc w:val="right"/>
            </w:pPr>
            <w:r>
              <w:rPr>
                <w:b/>
              </w:rPr>
              <w:t>7.</w:t>
            </w:r>
          </w:p>
        </w:tc>
        <w:tc>
          <w:tcPr>
            <w:tcW w:w="9683" w:type="dxa"/>
            <w:tcMar>
              <w:top w:w="0" w:type="dxa"/>
              <w:left w:w="0" w:type="dxa"/>
              <w:bottom w:w="20" w:type="dxa"/>
              <w:right w:w="0" w:type="dxa"/>
            </w:tcMar>
          </w:tcPr>
          <w:p w14:paraId="2D8BFFFD" w14:textId="77777777" w:rsidR="009D4EFC" w:rsidRDefault="00B3668C">
            <w:pPr>
              <w:keepLines/>
            </w:pPr>
            <w:r>
              <w:rPr>
                <w:b/>
              </w:rPr>
              <w:t xml:space="preserve">Loss and limited recovery. </w:t>
            </w:r>
            <w:r>
              <w:t>If Digital Assets are lost, sent to an incorrect address, transferred over an unsupported network, or stolen, recovery may be limited or impossible.</w:t>
            </w:r>
          </w:p>
        </w:tc>
      </w:tr>
      <w:tr w:rsidR="009D4EFC" w14:paraId="452F8534" w14:textId="77777777">
        <w:trPr>
          <w:jc w:val="center"/>
        </w:trPr>
        <w:tc>
          <w:tcPr>
            <w:tcW w:w="351" w:type="dxa"/>
            <w:tcMar>
              <w:top w:w="0" w:type="dxa"/>
              <w:left w:w="0" w:type="dxa"/>
              <w:bottom w:w="20" w:type="dxa"/>
              <w:right w:w="70" w:type="dxa"/>
            </w:tcMar>
          </w:tcPr>
          <w:p w14:paraId="652DA03F" w14:textId="77777777" w:rsidR="009D4EFC" w:rsidRDefault="00B3668C">
            <w:pPr>
              <w:keepLines/>
              <w:jc w:val="right"/>
            </w:pPr>
            <w:r>
              <w:rPr>
                <w:b/>
              </w:rPr>
              <w:t>8.</w:t>
            </w:r>
          </w:p>
        </w:tc>
        <w:tc>
          <w:tcPr>
            <w:tcW w:w="9683" w:type="dxa"/>
            <w:tcMar>
              <w:top w:w="0" w:type="dxa"/>
              <w:left w:w="0" w:type="dxa"/>
              <w:bottom w:w="20" w:type="dxa"/>
              <w:right w:w="0" w:type="dxa"/>
            </w:tcMar>
          </w:tcPr>
          <w:p w14:paraId="22698567" w14:textId="77777777" w:rsidR="009D4EFC" w:rsidRDefault="00B3668C">
            <w:pPr>
              <w:keepLines/>
            </w:pPr>
            <w:r>
              <w:rPr>
                <w:b/>
              </w:rPr>
              <w:t xml:space="preserve">Anonymity, irreversibility and accidental transactions. </w:t>
            </w:r>
            <w:r>
              <w:t>Digital Asset transactions may involve anonymity and may be irreversible once submitted or confirmed. Incorrect wallet addresses, networks, amounts or instructions, or failures in transaction recording or settlement, may result in permanent loss.</w:t>
            </w:r>
          </w:p>
        </w:tc>
      </w:tr>
      <w:tr w:rsidR="009D4EFC" w14:paraId="7E40C5E9" w14:textId="77777777">
        <w:trPr>
          <w:jc w:val="center"/>
        </w:trPr>
        <w:tc>
          <w:tcPr>
            <w:tcW w:w="351" w:type="dxa"/>
            <w:tcMar>
              <w:top w:w="0" w:type="dxa"/>
              <w:left w:w="0" w:type="dxa"/>
              <w:bottom w:w="20" w:type="dxa"/>
              <w:right w:w="70" w:type="dxa"/>
            </w:tcMar>
          </w:tcPr>
          <w:p w14:paraId="4B15EBFD" w14:textId="77777777" w:rsidR="009D4EFC" w:rsidRDefault="00B3668C">
            <w:pPr>
              <w:keepLines/>
              <w:jc w:val="right"/>
            </w:pPr>
            <w:r>
              <w:rPr>
                <w:b/>
              </w:rPr>
              <w:t>9.</w:t>
            </w:r>
          </w:p>
        </w:tc>
        <w:tc>
          <w:tcPr>
            <w:tcW w:w="9683" w:type="dxa"/>
            <w:tcMar>
              <w:top w:w="0" w:type="dxa"/>
              <w:left w:w="0" w:type="dxa"/>
              <w:bottom w:w="20" w:type="dxa"/>
              <w:right w:w="0" w:type="dxa"/>
            </w:tcMar>
          </w:tcPr>
          <w:p w14:paraId="230B296B" w14:textId="77777777" w:rsidR="009D4EFC" w:rsidRDefault="00B3668C">
            <w:pPr>
              <w:keepLines/>
            </w:pPr>
            <w:r>
              <w:rPr>
                <w:b/>
              </w:rPr>
              <w:t xml:space="preserve">Technology and network risk. </w:t>
            </w:r>
            <w:r>
              <w:t>Blockchain networks, Digital wallets, applications, Neomarkets Ltd, custodians or other Digital Asset service providers may experience outages, delays, congestion, forks, software defects or other failures that prevent or delay access, transfers or settlement.</w:t>
            </w:r>
          </w:p>
        </w:tc>
      </w:tr>
      <w:tr w:rsidR="009D4EFC" w14:paraId="3D578D08" w14:textId="77777777">
        <w:trPr>
          <w:jc w:val="center"/>
        </w:trPr>
        <w:tc>
          <w:tcPr>
            <w:tcW w:w="351" w:type="dxa"/>
            <w:tcMar>
              <w:top w:w="0" w:type="dxa"/>
              <w:left w:w="0" w:type="dxa"/>
              <w:bottom w:w="20" w:type="dxa"/>
              <w:right w:w="70" w:type="dxa"/>
            </w:tcMar>
          </w:tcPr>
          <w:p w14:paraId="15F565E5" w14:textId="77777777" w:rsidR="009D4EFC" w:rsidRDefault="00B3668C">
            <w:pPr>
              <w:keepLines/>
              <w:jc w:val="right"/>
            </w:pPr>
            <w:r>
              <w:rPr>
                <w:b/>
              </w:rPr>
              <w:t>10.</w:t>
            </w:r>
          </w:p>
        </w:tc>
        <w:tc>
          <w:tcPr>
            <w:tcW w:w="9683" w:type="dxa"/>
            <w:tcMar>
              <w:top w:w="0" w:type="dxa"/>
              <w:left w:w="0" w:type="dxa"/>
              <w:bottom w:w="20" w:type="dxa"/>
              <w:right w:w="0" w:type="dxa"/>
            </w:tcMar>
          </w:tcPr>
          <w:p w14:paraId="0252CB8D" w14:textId="77777777" w:rsidR="009D4EFC" w:rsidRDefault="00B3668C">
            <w:pPr>
              <w:keepLines/>
            </w:pPr>
            <w:r>
              <w:rPr>
                <w:b/>
              </w:rPr>
              <w:t xml:space="preserve">Custody and third-party risk. </w:t>
            </w:r>
            <w:r>
              <w:t>Neomarkets Ltd may use third-party Digital Asset service providers, including custodians. Their operational, financial, legal or cybersecurity failure may affect access to or the safekeeping of Digital Assets.</w:t>
            </w:r>
          </w:p>
        </w:tc>
      </w:tr>
      <w:tr w:rsidR="009D4EFC" w14:paraId="72BA8C58" w14:textId="77777777">
        <w:trPr>
          <w:jc w:val="center"/>
        </w:trPr>
        <w:tc>
          <w:tcPr>
            <w:tcW w:w="351" w:type="dxa"/>
            <w:tcMar>
              <w:top w:w="0" w:type="dxa"/>
              <w:left w:w="0" w:type="dxa"/>
              <w:bottom w:w="20" w:type="dxa"/>
              <w:right w:w="70" w:type="dxa"/>
            </w:tcMar>
          </w:tcPr>
          <w:p w14:paraId="62CA3736" w14:textId="77777777" w:rsidR="009D4EFC" w:rsidRDefault="00B3668C">
            <w:pPr>
              <w:keepLines/>
              <w:jc w:val="right"/>
            </w:pPr>
            <w:r>
              <w:rPr>
                <w:b/>
              </w:rPr>
              <w:t>11.</w:t>
            </w:r>
          </w:p>
        </w:tc>
        <w:tc>
          <w:tcPr>
            <w:tcW w:w="9683" w:type="dxa"/>
            <w:tcMar>
              <w:top w:w="0" w:type="dxa"/>
              <w:left w:w="0" w:type="dxa"/>
              <w:bottom w:w="20" w:type="dxa"/>
              <w:right w:w="0" w:type="dxa"/>
            </w:tcMar>
          </w:tcPr>
          <w:p w14:paraId="02B4F228" w14:textId="77777777" w:rsidR="009D4EFC" w:rsidRDefault="00B3668C">
            <w:pPr>
              <w:keepLines/>
            </w:pPr>
            <w:r>
              <w:rPr>
                <w:b/>
              </w:rPr>
              <w:t xml:space="preserve">Financial crime and sanctions risk. </w:t>
            </w:r>
            <w:r>
              <w:t>The nature of Digital Assets may create increased exposure to fraud, money laundering, terrorist financing, sanctions evasion or other unlawful activity. Transactions may be delayed, rejected, frozen or reported where required by law or regulation.</w:t>
            </w:r>
          </w:p>
        </w:tc>
      </w:tr>
      <w:tr w:rsidR="009D4EFC" w14:paraId="5D7ED5A2" w14:textId="77777777">
        <w:trPr>
          <w:jc w:val="center"/>
        </w:trPr>
        <w:tc>
          <w:tcPr>
            <w:tcW w:w="351" w:type="dxa"/>
            <w:tcMar>
              <w:top w:w="0" w:type="dxa"/>
              <w:left w:w="0" w:type="dxa"/>
              <w:bottom w:w="20" w:type="dxa"/>
              <w:right w:w="70" w:type="dxa"/>
            </w:tcMar>
          </w:tcPr>
          <w:p w14:paraId="79A7056D" w14:textId="77777777" w:rsidR="009D4EFC" w:rsidRDefault="00B3668C">
            <w:pPr>
              <w:keepLines/>
              <w:jc w:val="right"/>
            </w:pPr>
            <w:r>
              <w:rPr>
                <w:b/>
              </w:rPr>
              <w:t>12.</w:t>
            </w:r>
          </w:p>
        </w:tc>
        <w:tc>
          <w:tcPr>
            <w:tcW w:w="9683" w:type="dxa"/>
            <w:tcMar>
              <w:top w:w="0" w:type="dxa"/>
              <w:left w:w="0" w:type="dxa"/>
              <w:bottom w:w="20" w:type="dxa"/>
              <w:right w:w="0" w:type="dxa"/>
            </w:tcMar>
          </w:tcPr>
          <w:p w14:paraId="1788284D" w14:textId="77777777" w:rsidR="009D4EFC" w:rsidRDefault="00B3668C">
            <w:pPr>
              <w:keepLines/>
            </w:pPr>
            <w:r>
              <w:rPr>
                <w:b/>
              </w:rPr>
              <w:t xml:space="preserve">Regulatory and tax risk. </w:t>
            </w:r>
            <w:r>
              <w:t>The legal, regulatory and tax treatment of Digital Assets may change. Such changes may restrict services, affect value or result in additional obligations or costs.</w:t>
            </w:r>
          </w:p>
        </w:tc>
      </w:tr>
      <w:tr w:rsidR="009D4EFC" w14:paraId="1E159AA5" w14:textId="77777777">
        <w:trPr>
          <w:jc w:val="center"/>
        </w:trPr>
        <w:tc>
          <w:tcPr>
            <w:tcW w:w="351" w:type="dxa"/>
            <w:tcMar>
              <w:top w:w="0" w:type="dxa"/>
              <w:left w:w="0" w:type="dxa"/>
              <w:bottom w:w="20" w:type="dxa"/>
              <w:right w:w="70" w:type="dxa"/>
            </w:tcMar>
          </w:tcPr>
          <w:p w14:paraId="65D68283" w14:textId="77777777" w:rsidR="009D4EFC" w:rsidRDefault="00B3668C">
            <w:pPr>
              <w:keepLines/>
              <w:jc w:val="right"/>
            </w:pPr>
            <w:r>
              <w:rPr>
                <w:b/>
              </w:rPr>
              <w:t>13.</w:t>
            </w:r>
          </w:p>
        </w:tc>
        <w:tc>
          <w:tcPr>
            <w:tcW w:w="9683" w:type="dxa"/>
            <w:tcMar>
              <w:top w:w="0" w:type="dxa"/>
              <w:left w:w="0" w:type="dxa"/>
              <w:bottom w:w="20" w:type="dxa"/>
              <w:right w:w="0" w:type="dxa"/>
            </w:tcMar>
          </w:tcPr>
          <w:p w14:paraId="7159D38C" w14:textId="77777777" w:rsidR="009D4EFC" w:rsidRDefault="00B3668C">
            <w:pPr>
              <w:keepLines/>
            </w:pPr>
            <w:r>
              <w:rPr>
                <w:b/>
              </w:rPr>
              <w:t xml:space="preserve">No recognised compensation scheme. </w:t>
            </w:r>
            <w:r>
              <w:t>There may be no recognised compensation or deposit protection scheme available to compensate a Client for losses relating to Digital Assets.</w:t>
            </w:r>
          </w:p>
        </w:tc>
      </w:tr>
    </w:tbl>
    <w:p w14:paraId="3DDA7E4A" w14:textId="77777777" w:rsidR="009D4EFC" w:rsidRDefault="00B3668C">
      <w:pPr>
        <w:keepLines/>
        <w:spacing w:before="60"/>
        <w:jc w:val="both"/>
      </w:pPr>
      <w:r>
        <w:rPr>
          <w:b/>
        </w:rPr>
        <w:t xml:space="preserve">Important: </w:t>
      </w:r>
      <w:r>
        <w:t>This warning is not exhaustive and does not constitute legal, tax, financial or investment advice. Use Digital Asset services only if you understand the relevant technology and risks and can bear a total loss. This document addresses the risk-warning matters specified in DAA Rules 4.6.1.-1(1)(a)-(i) and 3.10.2(1)(a)-(m).</w:t>
      </w:r>
    </w:p>
    <w:sectPr w:rsidR="009D4EFC" w:rsidSect="00034616">
      <w:headerReference w:type="default" r:id="rId8"/>
      <w:footerReference w:type="default" r:id="rId9"/>
      <w:pgSz w:w="11906" w:h="16838"/>
      <w:pgMar w:top="765" w:right="935" w:bottom="765" w:left="935" w:header="369"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6DE6" w14:textId="77777777" w:rsidR="00B3668C" w:rsidRDefault="00B3668C">
      <w:r>
        <w:separator/>
      </w:r>
    </w:p>
  </w:endnote>
  <w:endnote w:type="continuationSeparator" w:id="0">
    <w:p w14:paraId="25209A1E" w14:textId="77777777" w:rsidR="00B3668C" w:rsidRDefault="00B3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C62F" w14:textId="42065499" w:rsidR="009D4EFC" w:rsidRDefault="00B3668C">
    <w:pPr>
      <w:pStyle w:val="a7"/>
      <w:keepLines/>
    </w:pPr>
    <w:proofErr w:type="spellStart"/>
    <w:r>
      <w:rPr>
        <w:sz w:val="16"/>
      </w:rPr>
      <w:t>Neomarkets</w:t>
    </w:r>
    <w:proofErr w:type="spellEnd"/>
    <w:r>
      <w:rPr>
        <w:sz w:val="16"/>
      </w:rPr>
      <w:t xml:space="preserve"> Ltd. | AFSA </w:t>
    </w:r>
    <w:proofErr w:type="spellStart"/>
    <w:r>
      <w:rPr>
        <w:sz w:val="16"/>
      </w:rPr>
      <w:t>Authorised</w:t>
    </w:r>
    <w:proofErr w:type="spellEnd"/>
    <w:r>
      <w:rPr>
        <w:sz w:val="16"/>
      </w:rPr>
      <w:t xml:space="preserve"> Firm and Digital Asset Service Provider (DASP) | </w:t>
    </w:r>
    <w:proofErr w:type="spellStart"/>
    <w:r>
      <w:rPr>
        <w:sz w:val="16"/>
      </w:rPr>
      <w:t>Licen</w:t>
    </w:r>
    <w:proofErr w:type="spellEnd"/>
    <w:r w:rsidR="006B4FB5">
      <w:rPr>
        <w:sz w:val="16"/>
        <w:lang w:val="en-GB"/>
      </w:rPr>
      <w:t>s</w:t>
    </w:r>
    <w:r>
      <w:rPr>
        <w:sz w:val="16"/>
      </w:rPr>
      <w:t>e No. AFSA-A-LA-2023-0003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1E7F" w14:textId="77777777" w:rsidR="00B3668C" w:rsidRDefault="00B3668C">
      <w:r>
        <w:separator/>
      </w:r>
    </w:p>
  </w:footnote>
  <w:footnote w:type="continuationSeparator" w:id="0">
    <w:p w14:paraId="3AAD8408" w14:textId="77777777" w:rsidR="00B3668C" w:rsidRDefault="00B3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53AF" w14:textId="77777777" w:rsidR="009D4EFC" w:rsidRDefault="00B3668C">
    <w:pPr>
      <w:pStyle w:val="a5"/>
      <w:keepLines/>
      <w:pBdr>
        <w:bottom w:val="single" w:sz="8" w:space="4" w:color="000000"/>
      </w:pBdr>
      <w:spacing w:after="40"/>
    </w:pPr>
    <w:r>
      <w:rPr>
        <w:b/>
        <w:sz w:val="18"/>
      </w:rPr>
      <w:t>NEOMARKETS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01036950">
    <w:abstractNumId w:val="8"/>
  </w:num>
  <w:num w:numId="2" w16cid:durableId="815875997">
    <w:abstractNumId w:val="6"/>
  </w:num>
  <w:num w:numId="3" w16cid:durableId="1865704575">
    <w:abstractNumId w:val="5"/>
  </w:num>
  <w:num w:numId="4" w16cid:durableId="394007530">
    <w:abstractNumId w:val="4"/>
  </w:num>
  <w:num w:numId="5" w16cid:durableId="536044964">
    <w:abstractNumId w:val="7"/>
  </w:num>
  <w:num w:numId="6" w16cid:durableId="523204699">
    <w:abstractNumId w:val="3"/>
  </w:num>
  <w:num w:numId="7" w16cid:durableId="2140024059">
    <w:abstractNumId w:val="2"/>
  </w:num>
  <w:num w:numId="8" w16cid:durableId="1380394070">
    <w:abstractNumId w:val="1"/>
  </w:num>
  <w:num w:numId="9" w16cid:durableId="18429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423F"/>
    <w:rsid w:val="006B4FB5"/>
    <w:rsid w:val="009D4EFC"/>
    <w:rsid w:val="00AA1D8D"/>
    <w:rsid w:val="00B3668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54C2EDD-84AA-4F35-8AEF-384BFC27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240" w:lineRule="auto"/>
    </w:pPr>
    <w:rPr>
      <w:rFonts w:ascii="Arial" w:eastAsia="Arial" w:hAnsi="Arial"/>
      <w:color w:val="000000"/>
      <w:sz w:val="20"/>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Ayan Tashmagambetov</cp:lastModifiedBy>
  <cp:revision>2</cp:revision>
  <dcterms:created xsi:type="dcterms:W3CDTF">2013-12-23T23:15:00Z</dcterms:created>
  <dcterms:modified xsi:type="dcterms:W3CDTF">2026-07-01T11:36:00Z</dcterms:modified>
  <cp:category/>
</cp:coreProperties>
</file>